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5605E" w:rsidRPr="0065605E" w:rsidTr="00E97898">
        <w:trPr>
          <w:trHeight w:val="3039"/>
        </w:trPr>
        <w:tc>
          <w:tcPr>
            <w:tcW w:w="4175" w:type="dxa"/>
            <w:gridSpan w:val="5"/>
          </w:tcPr>
          <w:p w:rsidR="0065605E" w:rsidRPr="0065605E" w:rsidRDefault="0065605E" w:rsidP="00656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605E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65605E" w:rsidRPr="0065605E" w:rsidRDefault="0065605E" w:rsidP="00656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605E">
              <w:rPr>
                <w:rFonts w:ascii="Times New Roman" w:hAnsi="Times New Roman" w:cs="Times New Roman"/>
                <w:b/>
                <w:sz w:val="28"/>
              </w:rPr>
              <w:t>МУНИЦИПАЛЬНОГО</w:t>
            </w:r>
          </w:p>
          <w:p w:rsidR="0065605E" w:rsidRPr="0065605E" w:rsidRDefault="0065605E" w:rsidP="00656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605E">
              <w:rPr>
                <w:rFonts w:ascii="Times New Roman" w:hAnsi="Times New Roman" w:cs="Times New Roman"/>
                <w:b/>
                <w:sz w:val="28"/>
              </w:rPr>
              <w:t>ОБРАЗОВАНИЯ</w:t>
            </w:r>
          </w:p>
          <w:p w:rsidR="0065605E" w:rsidRPr="0065605E" w:rsidRDefault="0065605E" w:rsidP="00656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605E">
              <w:rPr>
                <w:rFonts w:ascii="Times New Roman" w:hAnsi="Times New Roman" w:cs="Times New Roman"/>
                <w:b/>
                <w:sz w:val="28"/>
              </w:rPr>
              <w:t>ПРИДОЛИННЫЙ</w:t>
            </w:r>
          </w:p>
          <w:p w:rsidR="0065605E" w:rsidRPr="0065605E" w:rsidRDefault="0065605E" w:rsidP="00656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605E">
              <w:rPr>
                <w:rFonts w:ascii="Times New Roman" w:hAnsi="Times New Roman" w:cs="Times New Roman"/>
                <w:b/>
                <w:sz w:val="28"/>
              </w:rPr>
              <w:t>СЕЛЬСОВЕТ</w:t>
            </w:r>
          </w:p>
          <w:p w:rsidR="0065605E" w:rsidRPr="0065605E" w:rsidRDefault="0065605E" w:rsidP="00656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05E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ТАШЛИНСКООГО РАЙОНА</w:t>
            </w:r>
          </w:p>
          <w:p w:rsidR="0065605E" w:rsidRPr="0065605E" w:rsidRDefault="0065605E" w:rsidP="00656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05E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65605E" w:rsidRPr="0065605E" w:rsidRDefault="0065605E" w:rsidP="0065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5605E" w:rsidRPr="0065605E" w:rsidRDefault="0065605E" w:rsidP="00656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560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56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65605E" w:rsidRPr="0065605E" w:rsidRDefault="0065605E" w:rsidP="0065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5605E" w:rsidRPr="0065605E" w:rsidTr="00E97898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05E" w:rsidRPr="0065605E" w:rsidRDefault="0065605E" w:rsidP="00656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605E" w:rsidRPr="0065605E" w:rsidRDefault="0065605E" w:rsidP="00656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Pr="0065605E">
              <w:rPr>
                <w:rFonts w:ascii="Times New Roman" w:hAnsi="Times New Roman" w:cs="Times New Roman"/>
                <w:sz w:val="28"/>
                <w:szCs w:val="24"/>
              </w:rPr>
              <w:t>.03.2022</w:t>
            </w:r>
          </w:p>
        </w:tc>
        <w:tc>
          <w:tcPr>
            <w:tcW w:w="577" w:type="dxa"/>
            <w:hideMark/>
          </w:tcPr>
          <w:p w:rsidR="0065605E" w:rsidRPr="0065605E" w:rsidRDefault="0065605E" w:rsidP="0065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05E" w:rsidRPr="0065605E" w:rsidRDefault="0065605E" w:rsidP="0065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605E" w:rsidRPr="0065605E" w:rsidRDefault="0065605E" w:rsidP="0065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605E">
              <w:rPr>
                <w:rFonts w:ascii="Times New Roman" w:hAnsi="Times New Roman" w:cs="Times New Roman"/>
                <w:sz w:val="28"/>
                <w:szCs w:val="24"/>
              </w:rPr>
              <w:t>№  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65605E">
              <w:rPr>
                <w:rFonts w:ascii="Times New Roman" w:hAnsi="Times New Roman" w:cs="Times New Roman"/>
                <w:sz w:val="28"/>
                <w:szCs w:val="24"/>
              </w:rPr>
              <w:t>-п</w:t>
            </w:r>
          </w:p>
        </w:tc>
      </w:tr>
      <w:tr w:rsidR="0065605E" w:rsidRPr="0065605E" w:rsidTr="00E97898">
        <w:tc>
          <w:tcPr>
            <w:tcW w:w="4175" w:type="dxa"/>
            <w:gridSpan w:val="5"/>
            <w:hideMark/>
          </w:tcPr>
          <w:p w:rsidR="0065605E" w:rsidRPr="0065605E" w:rsidRDefault="0065605E" w:rsidP="00656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5E">
              <w:rPr>
                <w:rFonts w:ascii="Times New Roman" w:hAnsi="Times New Roman" w:cs="Times New Roman"/>
                <w:b/>
              </w:rPr>
              <w:t>п. Придолинный</w:t>
            </w:r>
          </w:p>
        </w:tc>
      </w:tr>
    </w:tbl>
    <w:p w:rsidR="0065605E" w:rsidRPr="0065605E" w:rsidRDefault="0065605E" w:rsidP="0065605E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65605E" w:rsidRDefault="00694287" w:rsidP="0065605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94287">
        <w:rPr>
          <w:rFonts w:ascii="Times New Roman" w:hAnsi="Times New Roman" w:cs="Times New Roman"/>
          <w:szCs w:val="20"/>
          <w:lang w:eastAsia="ar-SA"/>
        </w:rPr>
        <w:pict>
          <v:line id="_x0000_s1026" style="position:absolute;z-index:251656192" from="277.2pt,2.45pt" to="277.2pt,13.25pt" o:allowincell="f">
            <v:stroke startarrowwidth="narrow" startarrowlength="short" endarrowwidth="narrow" endarrowlength="short"/>
          </v:line>
        </w:pict>
      </w:r>
      <w:r w:rsidRPr="00694287">
        <w:rPr>
          <w:rFonts w:ascii="Times New Roman" w:hAnsi="Times New Roman" w:cs="Times New Roman"/>
          <w:szCs w:val="20"/>
          <w:lang w:eastAsia="ar-SA"/>
        </w:rPr>
        <w:pict>
          <v:line id="_x0000_s1027" style="position:absolute;z-index:251657216" from="255.85pt,1.8pt" to="277.2pt,1.85pt" o:allowincell="f">
            <v:stroke startarrowwidth="narrow" startarrowlength="short" endarrowwidth="narrow" endarrowlength="short"/>
          </v:line>
        </w:pict>
      </w:r>
      <w:r w:rsidRPr="00694287">
        <w:rPr>
          <w:rFonts w:ascii="Times New Roman" w:hAnsi="Times New Roman" w:cs="Times New Roman"/>
          <w:szCs w:val="20"/>
          <w:lang w:eastAsia="ar-SA"/>
        </w:rPr>
        <w:pict>
          <v:line id="_x0000_s1028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694287">
        <w:rPr>
          <w:rFonts w:ascii="Times New Roman" w:hAnsi="Times New Roman" w:cs="Times New Roman"/>
          <w:szCs w:val="20"/>
          <w:lang w:eastAsia="ar-SA"/>
        </w:rPr>
        <w:pict>
          <v:line id="_x0000_s1029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5605E" w:rsidRPr="0065605E">
        <w:rPr>
          <w:rFonts w:ascii="Times New Roman" w:hAnsi="Times New Roman" w:cs="Times New Roman"/>
          <w:sz w:val="28"/>
        </w:rPr>
        <w:t>О</w:t>
      </w:r>
      <w:r w:rsidR="0065605E">
        <w:rPr>
          <w:rFonts w:ascii="Times New Roman" w:hAnsi="Times New Roman" w:cs="Times New Roman"/>
          <w:sz w:val="28"/>
        </w:rPr>
        <w:t>б утверждении методики прогнозирования</w:t>
      </w:r>
    </w:p>
    <w:p w:rsidR="0065605E" w:rsidRDefault="0065605E" w:rsidP="0065605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поступлений доходов в бюджет </w:t>
      </w:r>
    </w:p>
    <w:p w:rsidR="0065605E" w:rsidRDefault="0065605E" w:rsidP="0065605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Придолинный</w:t>
      </w:r>
    </w:p>
    <w:p w:rsidR="0065605E" w:rsidRDefault="0065605E" w:rsidP="0065605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сельсовет Ташлинского района </w:t>
      </w:r>
      <w:proofErr w:type="gramStart"/>
      <w:r>
        <w:rPr>
          <w:rFonts w:ascii="Times New Roman" w:hAnsi="Times New Roman" w:cs="Times New Roman"/>
          <w:sz w:val="28"/>
        </w:rPr>
        <w:t>Оренбургской</w:t>
      </w:r>
      <w:proofErr w:type="gramEnd"/>
    </w:p>
    <w:p w:rsidR="0065605E" w:rsidRDefault="0065605E" w:rsidP="0065605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области, бюджетные полномочия главного</w:t>
      </w:r>
    </w:p>
    <w:p w:rsidR="0065605E" w:rsidRDefault="0065605E" w:rsidP="0065605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администратора</w:t>
      </w:r>
      <w:proofErr w:type="gramEnd"/>
      <w:r>
        <w:rPr>
          <w:rFonts w:ascii="Times New Roman" w:hAnsi="Times New Roman" w:cs="Times New Roman"/>
          <w:sz w:val="28"/>
        </w:rPr>
        <w:t xml:space="preserve"> по которым осуществляет </w:t>
      </w:r>
    </w:p>
    <w:p w:rsidR="0065605E" w:rsidRDefault="0065605E" w:rsidP="0065605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муниципального образования</w:t>
      </w:r>
    </w:p>
    <w:p w:rsidR="0065605E" w:rsidRDefault="0065605E" w:rsidP="0065605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Придолинный сельсовет Ташлинского района</w:t>
      </w:r>
    </w:p>
    <w:p w:rsidR="0065605E" w:rsidRPr="0065605E" w:rsidRDefault="0065605E" w:rsidP="0065605E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Оренбургской области</w:t>
      </w:r>
      <w:r w:rsidRPr="0065605E">
        <w:rPr>
          <w:rFonts w:ascii="Times New Roman" w:hAnsi="Times New Roman" w:cs="Times New Roman"/>
          <w:sz w:val="28"/>
        </w:rPr>
        <w:t xml:space="preserve"> </w:t>
      </w:r>
    </w:p>
    <w:p w:rsidR="00214039" w:rsidRPr="00214039" w:rsidRDefault="00A23157" w:rsidP="00C610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1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3157" w:rsidRPr="00A23157" w:rsidRDefault="0065605E" w:rsidP="00A23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3157" w:rsidRPr="00A23157">
        <w:rPr>
          <w:rFonts w:ascii="Times New Roman" w:hAnsi="Times New Roman" w:cs="Times New Roman"/>
          <w:sz w:val="28"/>
          <w:szCs w:val="28"/>
        </w:rPr>
        <w:t xml:space="preserve">  В соответствии с</w:t>
      </w:r>
      <w:r w:rsidR="00A23157">
        <w:rPr>
          <w:rFonts w:ascii="Times New Roman" w:hAnsi="Times New Roman" w:cs="Times New Roman"/>
          <w:sz w:val="28"/>
          <w:szCs w:val="28"/>
        </w:rPr>
        <w:t>о статьей</w:t>
      </w:r>
      <w:r w:rsidR="00A23157" w:rsidRPr="00A23157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приказываю:</w:t>
      </w:r>
    </w:p>
    <w:p w:rsidR="00A23157" w:rsidRPr="00690906" w:rsidRDefault="00A23157" w:rsidP="002726CC">
      <w:pPr>
        <w:pStyle w:val="ConsPlusNormal"/>
        <w:numPr>
          <w:ilvl w:val="0"/>
          <w:numId w:val="2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90906">
        <w:rPr>
          <w:rFonts w:ascii="Times New Roman" w:hAnsi="Times New Roman" w:cs="Times New Roman"/>
          <w:sz w:val="28"/>
          <w:szCs w:val="28"/>
        </w:rPr>
        <w:t>Утвердить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</w:t>
      </w:r>
      <w:r w:rsidR="00690906" w:rsidRPr="00690906">
        <w:rPr>
          <w:rFonts w:ascii="Times New Roman" w:hAnsi="Times New Roman" w:cs="Times New Roman"/>
          <w:sz w:val="28"/>
          <w:szCs w:val="28"/>
        </w:rPr>
        <w:t>м</w:t>
      </w:r>
      <w:r w:rsidR="007947DC" w:rsidRPr="00690906">
        <w:rPr>
          <w:rFonts w:ascii="Times New Roman" w:hAnsi="Times New Roman" w:cs="Times New Roman"/>
          <w:sz w:val="28"/>
          <w:szCs w:val="28"/>
        </w:rPr>
        <w:t>етодику</w:t>
      </w:r>
      <w:r w:rsidR="00690906" w:rsidRPr="00690906">
        <w:rPr>
          <w:rFonts w:ascii="Times New Roman" w:hAnsi="Times New Roman" w:cs="Times New Roman"/>
          <w:sz w:val="28"/>
          <w:szCs w:val="28"/>
        </w:rPr>
        <w:t xml:space="preserve"> 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муниципального образования </w:t>
      </w:r>
      <w:r w:rsidR="006209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5605E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="00620933">
        <w:rPr>
          <w:rFonts w:ascii="Times New Roman" w:hAnsi="Times New Roman" w:cs="Times New Roman"/>
          <w:sz w:val="28"/>
          <w:szCs w:val="28"/>
        </w:rPr>
        <w:t xml:space="preserve">сельсовет, </w:t>
      </w:r>
      <w:r w:rsidR="0065605E">
        <w:rPr>
          <w:rFonts w:ascii="Times New Roman" w:hAnsi="Times New Roman" w:cs="Times New Roman"/>
          <w:sz w:val="28"/>
          <w:szCs w:val="28"/>
        </w:rPr>
        <w:t>Ташлинского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 w:rsidR="00620933">
        <w:rPr>
          <w:rFonts w:ascii="Times New Roman" w:hAnsi="Times New Roman" w:cs="Times New Roman"/>
          <w:sz w:val="28"/>
          <w:szCs w:val="28"/>
        </w:rPr>
        <w:t>,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 Администраци</w:t>
      </w:r>
      <w:r w:rsidR="0035438D">
        <w:rPr>
          <w:rFonts w:ascii="Times New Roman" w:hAnsi="Times New Roman" w:cs="Times New Roman"/>
          <w:sz w:val="28"/>
          <w:szCs w:val="28"/>
        </w:rPr>
        <w:t>я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20933">
        <w:rPr>
          <w:rFonts w:ascii="Times New Roman" w:hAnsi="Times New Roman" w:cs="Times New Roman"/>
          <w:sz w:val="28"/>
          <w:szCs w:val="28"/>
        </w:rPr>
        <w:t xml:space="preserve"> </w:t>
      </w:r>
      <w:r w:rsidR="0065605E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="006209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69090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11328" w:rsidRPr="00611328" w:rsidRDefault="00611328" w:rsidP="002726C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3157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 w:rsidR="00100B6A">
        <w:rPr>
          <w:rFonts w:ascii="Times New Roman" w:hAnsi="Times New Roman" w:cs="Times New Roman"/>
          <w:sz w:val="28"/>
          <w:szCs w:val="28"/>
        </w:rPr>
        <w:t>со дня</w:t>
      </w:r>
      <w:r w:rsidRPr="00A23157">
        <w:rPr>
          <w:rFonts w:ascii="Times New Roman" w:hAnsi="Times New Roman" w:cs="Times New Roman"/>
          <w:sz w:val="28"/>
          <w:szCs w:val="28"/>
        </w:rPr>
        <w:t xml:space="preserve"> его подписания и </w:t>
      </w:r>
      <w:r w:rsidR="00100B6A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Pr="00A23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157">
        <w:rPr>
          <w:rFonts w:ascii="Times New Roman" w:hAnsi="Times New Roman" w:cs="Times New Roman"/>
          <w:sz w:val="28"/>
          <w:szCs w:val="28"/>
        </w:rPr>
        <w:t>правоотношени</w:t>
      </w:r>
      <w:r w:rsidR="00100B6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23157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100B6A">
        <w:rPr>
          <w:rFonts w:ascii="Times New Roman" w:hAnsi="Times New Roman" w:cs="Times New Roman"/>
          <w:sz w:val="28"/>
          <w:szCs w:val="28"/>
        </w:rPr>
        <w:t>шие</w:t>
      </w:r>
      <w:r w:rsidRPr="00A23157">
        <w:rPr>
          <w:rFonts w:ascii="Times New Roman" w:hAnsi="Times New Roman" w:cs="Times New Roman"/>
          <w:sz w:val="28"/>
          <w:szCs w:val="28"/>
        </w:rPr>
        <w:t xml:space="preserve"> </w:t>
      </w:r>
      <w:r w:rsidR="00100B6A">
        <w:rPr>
          <w:rFonts w:ascii="Times New Roman" w:hAnsi="Times New Roman" w:cs="Times New Roman"/>
          <w:sz w:val="28"/>
          <w:szCs w:val="28"/>
        </w:rPr>
        <w:t>с 01.01.2022года</w:t>
      </w:r>
      <w:r w:rsidRPr="00A23157">
        <w:rPr>
          <w:rFonts w:ascii="Times New Roman" w:hAnsi="Times New Roman" w:cs="Times New Roman"/>
          <w:sz w:val="28"/>
          <w:szCs w:val="28"/>
        </w:rPr>
        <w:t>.</w:t>
      </w:r>
    </w:p>
    <w:p w:rsidR="00A23157" w:rsidRPr="00A23157" w:rsidRDefault="00611328" w:rsidP="0061132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7DC" w:rsidRDefault="007947DC" w:rsidP="00611328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1328" w:rsidRPr="00611328" w:rsidRDefault="00611328" w:rsidP="006113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1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       </w:t>
      </w:r>
      <w:r w:rsidR="00204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Д.М.Горбунова</w:t>
      </w:r>
      <w:r w:rsidRPr="0061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</w:t>
      </w:r>
    </w:p>
    <w:p w:rsidR="00690906" w:rsidRDefault="00690906" w:rsidP="0069090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Pr="002726CC" w:rsidRDefault="002726CC" w:rsidP="00272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района, прокуратуре района.</w:t>
      </w:r>
    </w:p>
    <w:p w:rsidR="00214039" w:rsidRPr="00214039" w:rsidRDefault="00214039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0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Постановлению</w:t>
      </w:r>
    </w:p>
    <w:p w:rsidR="00214039" w:rsidRPr="002726CC" w:rsidRDefault="00214039" w:rsidP="0021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40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от</w:t>
      </w:r>
      <w:r w:rsidR="00540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726C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14.03.2022 </w:t>
      </w:r>
      <w:r w:rsidR="00540A0A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272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26C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29-п</w:t>
      </w:r>
    </w:p>
    <w:p w:rsidR="007947DC" w:rsidRDefault="007947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98" w:rsidRPr="00267240" w:rsidRDefault="007212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>М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721298" w:rsidRPr="00267240" w:rsidRDefault="00721298" w:rsidP="00267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в бюджет </w:t>
      </w:r>
      <w:r w:rsidR="0013787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726CC">
        <w:rPr>
          <w:rFonts w:ascii="Times New Roman" w:hAnsi="Times New Roman" w:cs="Times New Roman"/>
          <w:b/>
          <w:sz w:val="28"/>
          <w:szCs w:val="28"/>
        </w:rPr>
        <w:t xml:space="preserve"> Придолинный</w:t>
      </w:r>
      <w:r w:rsidR="009C10C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37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B6A">
        <w:rPr>
          <w:rFonts w:ascii="Times New Roman" w:hAnsi="Times New Roman" w:cs="Times New Roman"/>
          <w:b/>
          <w:sz w:val="28"/>
          <w:szCs w:val="28"/>
        </w:rPr>
        <w:t>Ташлинского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 </w:t>
      </w:r>
      <w:r w:rsidR="00724176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35438D">
        <w:rPr>
          <w:rFonts w:ascii="Times New Roman" w:hAnsi="Times New Roman" w:cs="Times New Roman"/>
          <w:b/>
          <w:sz w:val="28"/>
          <w:szCs w:val="28"/>
        </w:rPr>
        <w:t>я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9C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CC">
        <w:rPr>
          <w:rFonts w:ascii="Times New Roman" w:hAnsi="Times New Roman" w:cs="Times New Roman"/>
          <w:b/>
          <w:sz w:val="28"/>
          <w:szCs w:val="28"/>
        </w:rPr>
        <w:t xml:space="preserve">Придолинный </w:t>
      </w:r>
      <w:r w:rsidR="009C10CA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B6A">
        <w:rPr>
          <w:rFonts w:ascii="Times New Roman" w:hAnsi="Times New Roman" w:cs="Times New Roman"/>
          <w:b/>
          <w:sz w:val="28"/>
          <w:szCs w:val="28"/>
        </w:rPr>
        <w:t>Ташлинского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267240" w:rsidRDefault="00267240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85" w:rsidRDefault="00267240" w:rsidP="0026724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240" w:rsidRDefault="00267240" w:rsidP="0031629C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14D85" w:rsidRDefault="00814D85" w:rsidP="00814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1.1.Настоящая методика прогнозирования поступлений доходов в бюджет муниципального образования</w:t>
      </w:r>
      <w:r w:rsidR="009C10CA">
        <w:rPr>
          <w:rFonts w:ascii="Times New Roman" w:hAnsi="Times New Roman" w:cs="Times New Roman"/>
          <w:sz w:val="28"/>
          <w:szCs w:val="28"/>
        </w:rPr>
        <w:t xml:space="preserve"> </w:t>
      </w:r>
      <w:r w:rsidR="002726CC">
        <w:rPr>
          <w:rFonts w:ascii="Times New Roman" w:hAnsi="Times New Roman" w:cs="Times New Roman"/>
          <w:sz w:val="28"/>
          <w:szCs w:val="28"/>
        </w:rPr>
        <w:t>Придолинный</w:t>
      </w:r>
      <w:r w:rsidR="009C10C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администрируемых </w:t>
      </w:r>
      <w:r w:rsidR="007241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35438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ED73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2726CC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="009C10CA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 (далее –</w:t>
      </w:r>
      <w:r w:rsidR="009C10CA">
        <w:rPr>
          <w:rFonts w:ascii="Times New Roman" w:hAnsi="Times New Roman" w:cs="Times New Roman"/>
          <w:sz w:val="28"/>
          <w:szCs w:val="28"/>
        </w:rPr>
        <w:t xml:space="preserve"> </w:t>
      </w:r>
      <w:r w:rsidR="0035438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), разработана на основании статьи 160.1 Бюджетного кодекса Российской Федерации и 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в целях реализации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полномочий главного администратора доходов бюджета муниципального образования в части прогнозирования поступлений по закрепленным за ним доходам на текущий финансовый год, очередной финансовый год и плановый период.</w:t>
      </w:r>
    </w:p>
    <w:p w:rsidR="00814D85" w:rsidRDefault="00814D85" w:rsidP="00814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 Прогнозирование осуществляется в соответствии с Порядком формирования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разрезе видов доходных источников, закрепленных за 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r w:rsidR="009C10CA">
        <w:rPr>
          <w:rFonts w:ascii="Times New Roman" w:hAnsi="Times New Roman" w:cs="Times New Roman"/>
          <w:sz w:val="28"/>
          <w:szCs w:val="28"/>
        </w:rPr>
        <w:t xml:space="preserve"> </w:t>
      </w:r>
      <w:r w:rsidR="002726CC">
        <w:rPr>
          <w:rFonts w:ascii="Times New Roman" w:hAnsi="Times New Roman" w:cs="Times New Roman"/>
          <w:sz w:val="28"/>
          <w:szCs w:val="28"/>
        </w:rPr>
        <w:t>Придолинный</w:t>
      </w:r>
      <w:r w:rsidR="009C10C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8A5D74" w:rsidRDefault="008A5D74" w:rsidP="009C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Прогнозирование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доходов может осуществлят</w:t>
      </w:r>
      <w:r w:rsidR="00CD7C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следующими методами или комбинациями методов: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усреднение - расчет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иной способ.</w:t>
      </w:r>
    </w:p>
    <w:p w:rsidR="008A5D74" w:rsidRDefault="008A5D74" w:rsidP="009C1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Методика прогнозирования предусматривает использование при расчете прогнозного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объема поступлений доходов оценки ожидаемых результатов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области, местной администрации.</w:t>
      </w:r>
    </w:p>
    <w:p w:rsidR="008A5D74" w:rsidRDefault="008A5D74" w:rsidP="009C10CA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Методика прогнозирования </w:t>
      </w:r>
      <w:r w:rsidR="00681D28">
        <w:rPr>
          <w:rFonts w:ascii="Times New Roman" w:hAnsi="Times New Roman" w:cs="Times New Roman"/>
          <w:sz w:val="28"/>
          <w:szCs w:val="28"/>
        </w:rPr>
        <w:t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690906" w:rsidRDefault="00690906" w:rsidP="008A5D74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в </w:t>
      </w:r>
      <w:r w:rsidR="0035438D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 в виде безвозмездных поступлений от других бюджетов бюджетной системы Российской Федерации осуществляется на основании нормативных правовых актов (проектов нормативных правовых актов о распределении межбюджетных трансфертов </w:t>
      </w:r>
      <w:r w:rsidR="0035438D">
        <w:rPr>
          <w:rFonts w:ascii="Times New Roman" w:hAnsi="Times New Roman" w:cs="Times New Roman"/>
          <w:sz w:val="28"/>
          <w:szCs w:val="28"/>
        </w:rPr>
        <w:t>местному</w:t>
      </w:r>
      <w:r>
        <w:rPr>
          <w:rFonts w:ascii="Times New Roman" w:hAnsi="Times New Roman" w:cs="Times New Roman"/>
          <w:sz w:val="28"/>
          <w:szCs w:val="28"/>
        </w:rPr>
        <w:t xml:space="preserve"> бюджету из бюджетов бюджетной системы Российской Федерации и (или) объемов безвозмездных поступлений от других бюджетов бюджетной системы Российской Федерации, утвержденных законом Оренбургской области об областном бюджете (проектом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812BBB">
        <w:rPr>
          <w:rFonts w:ascii="Times New Roman" w:hAnsi="Times New Roman" w:cs="Times New Roman"/>
          <w:sz w:val="28"/>
          <w:szCs w:val="28"/>
        </w:rPr>
        <w:t xml:space="preserve"> решением о районном бюджете (проектом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297" w:rsidRDefault="00681D28" w:rsidP="005A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</w:t>
      </w:r>
      <w:r w:rsidR="005A6297" w:rsidRPr="005A6297">
        <w:rPr>
          <w:rFonts w:ascii="Times New Roman" w:hAnsi="Times New Roman" w:cs="Times New Roman"/>
          <w:sz w:val="28"/>
          <w:szCs w:val="28"/>
        </w:rPr>
        <w:t xml:space="preserve"> </w:t>
      </w:r>
      <w:r w:rsidR="005A6297">
        <w:rPr>
          <w:rFonts w:ascii="Times New Roman" w:hAnsi="Times New Roman" w:cs="Times New Roman"/>
          <w:sz w:val="28"/>
          <w:szCs w:val="28"/>
        </w:rPr>
        <w:t>на сумму превышения (уменьшения) фактического объема их поступления.</w:t>
      </w:r>
    </w:p>
    <w:p w:rsidR="00FA2F05" w:rsidRDefault="005A6297" w:rsidP="005A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D28">
        <w:rPr>
          <w:rFonts w:ascii="Times New Roman" w:hAnsi="Times New Roman" w:cs="Times New Roman"/>
          <w:sz w:val="28"/>
          <w:szCs w:val="28"/>
        </w:rPr>
        <w:t xml:space="preserve">   </w:t>
      </w:r>
      <w:r w:rsidR="00FA2F05">
        <w:rPr>
          <w:rFonts w:ascii="Times New Roman" w:hAnsi="Times New Roman" w:cs="Times New Roman"/>
          <w:sz w:val="28"/>
          <w:szCs w:val="28"/>
        </w:rPr>
        <w:t xml:space="preserve"> </w:t>
      </w:r>
      <w:r w:rsidR="00681D28">
        <w:rPr>
          <w:rFonts w:ascii="Times New Roman" w:hAnsi="Times New Roman" w:cs="Times New Roman"/>
          <w:sz w:val="28"/>
          <w:szCs w:val="28"/>
        </w:rPr>
        <w:t xml:space="preserve"> При расчете прогнозируемого объема поступлений доходов в соответствии с настоящей Методикой не учитываются фактические поступления, имеющие несистемный, разовый характер.</w:t>
      </w:r>
    </w:p>
    <w:p w:rsidR="001B7B2E" w:rsidRDefault="00FA2F05" w:rsidP="00D954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Поступление доходов от возврата остатков субсидий, субвенций и иных межбюджетных трансфертов</w:t>
      </w:r>
      <w:r w:rsidR="00F02ACB">
        <w:rPr>
          <w:rFonts w:ascii="Times New Roman" w:hAnsi="Times New Roman" w:cs="Times New Roman"/>
          <w:sz w:val="28"/>
          <w:szCs w:val="28"/>
        </w:rPr>
        <w:t xml:space="preserve"> и возврат остатков,</w:t>
      </w:r>
      <w:r>
        <w:rPr>
          <w:rFonts w:ascii="Times New Roman" w:hAnsi="Times New Roman" w:cs="Times New Roman"/>
          <w:sz w:val="28"/>
          <w:szCs w:val="28"/>
        </w:rPr>
        <w:t xml:space="preserve"> имеющих целевое назначение, прошлых лет</w:t>
      </w:r>
      <w:r w:rsidR="00681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имеют несистемный характер и относятся к категории не поддающихся объективному прогнозированию.</w:t>
      </w: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Pr="00267240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B7B2E" w:rsidSect="0065605E">
          <w:pgSz w:w="11906" w:h="16838"/>
          <w:pgMar w:top="1135" w:right="851" w:bottom="1276" w:left="1701" w:header="709" w:footer="709" w:gutter="0"/>
          <w:cols w:space="708"/>
          <w:docGrid w:linePitch="360"/>
        </w:sectPr>
      </w:pPr>
    </w:p>
    <w:p w:rsidR="00721298" w:rsidRPr="009F1F1D" w:rsidRDefault="00721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653"/>
        <w:gridCol w:w="1785"/>
        <w:gridCol w:w="1617"/>
        <w:gridCol w:w="1560"/>
        <w:gridCol w:w="1275"/>
        <w:gridCol w:w="1843"/>
        <w:gridCol w:w="2127"/>
        <w:gridCol w:w="3260"/>
      </w:tblGrid>
      <w:tr w:rsidR="00595AE0" w:rsidRPr="009F1F1D" w:rsidTr="003E1DA3">
        <w:tc>
          <w:tcPr>
            <w:tcW w:w="54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9F1F1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F1F1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65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Код главного администратора доходов</w:t>
            </w:r>
          </w:p>
        </w:tc>
        <w:tc>
          <w:tcPr>
            <w:tcW w:w="1785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617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КБК </w:t>
            </w:r>
            <w:hyperlink w:anchor="P185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60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КБК доходов</w:t>
            </w:r>
          </w:p>
        </w:tc>
        <w:tc>
          <w:tcPr>
            <w:tcW w:w="1275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Наименование метода расчета </w:t>
            </w:r>
            <w:hyperlink w:anchor="P186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843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Формула расчета </w:t>
            </w:r>
            <w:hyperlink w:anchor="P187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27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Алгоритм расчета </w:t>
            </w:r>
            <w:hyperlink w:anchor="P188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60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Описание показателей </w:t>
            </w:r>
            <w:hyperlink w:anchor="P189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EE4E59" w:rsidRPr="00B82146" w:rsidTr="003E1DA3">
        <w:tc>
          <w:tcPr>
            <w:tcW w:w="543" w:type="dxa"/>
          </w:tcPr>
          <w:p w:rsidR="00EE4E59" w:rsidRPr="009473FF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53" w:type="dxa"/>
          </w:tcPr>
          <w:p w:rsidR="00EE4E59" w:rsidRPr="00CD0A93" w:rsidRDefault="00EE4E59" w:rsidP="00EE4E5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EE4E59" w:rsidRPr="00EE4E59" w:rsidRDefault="00EE4E59" w:rsidP="002726CC">
            <w:pPr>
              <w:spacing w:line="240" w:lineRule="auto"/>
              <w:rPr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 w:rsidR="002726CC">
              <w:rPr>
                <w:rFonts w:ascii="Times New Roman" w:hAnsi="Times New Roman" w:cs="Times New Roman"/>
                <w:sz w:val="16"/>
                <w:szCs w:val="16"/>
              </w:rPr>
              <w:t>Придолинный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r w:rsidR="00100B6A"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EE4E59" w:rsidRPr="00EE4E59" w:rsidRDefault="00EE4E59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10804020011000110</w:t>
            </w:r>
          </w:p>
        </w:tc>
        <w:tc>
          <w:tcPr>
            <w:tcW w:w="1560" w:type="dxa"/>
          </w:tcPr>
          <w:p w:rsidR="00EE4E59" w:rsidRPr="00EE4E59" w:rsidRDefault="00EE4E59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EE4E59" w:rsidRPr="007D55BD" w:rsidRDefault="007D55BD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Усредненный расчет</w:t>
            </w:r>
          </w:p>
        </w:tc>
        <w:tc>
          <w:tcPr>
            <w:tcW w:w="1843" w:type="dxa"/>
          </w:tcPr>
          <w:p w:rsidR="00EE4E59" w:rsidRPr="006367D1" w:rsidRDefault="000339B1" w:rsidP="009C10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Calibri" w:cs="Times New Roman"/>
                <w:sz w:val="16"/>
                <w:szCs w:val="16"/>
                <w:lang w:eastAsia="en-US"/>
              </w:rPr>
              <w:t>Дпп=</w:t>
            </w:r>
            <w:proofErr w:type="spellEnd"/>
            <w:r>
              <w:rPr>
                <w:rFonts w:eastAsia="Calibri" w:cs="Times New Roman"/>
                <w:sz w:val="16"/>
                <w:szCs w:val="16"/>
                <w:lang w:eastAsia="en-US"/>
              </w:rPr>
              <w:t>(Д1ф+Д2ф+Д3ф</w:t>
            </w:r>
            <w:r w:rsidR="006367D1">
              <w:rPr>
                <w:rFonts w:eastAsia="Calibri" w:cs="Times New Roman"/>
                <w:sz w:val="16"/>
                <w:szCs w:val="16"/>
                <w:lang w:eastAsia="en-US"/>
              </w:rPr>
              <w:t>)/3</w:t>
            </w:r>
          </w:p>
        </w:tc>
        <w:tc>
          <w:tcPr>
            <w:tcW w:w="2127" w:type="dxa"/>
          </w:tcPr>
          <w:p w:rsidR="006367D1" w:rsidRPr="006367D1" w:rsidRDefault="006367D1" w:rsidP="00636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7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Расчет осуществляется методом усреднения годовых объемов поступления доходов за 3 года, предшествующих расчетному периоду, или за весь период поступления соответствующего дохода, если он не превышает 3 года.</w:t>
            </w:r>
          </w:p>
          <w:p w:rsidR="00EE4E59" w:rsidRPr="007D55BD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D55BD" w:rsidRPr="007D55BD" w:rsidRDefault="007D55BD" w:rsidP="007D5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Дпп</w:t>
            </w:r>
            <w:proofErr w:type="spellEnd"/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– прогнозируемая сумма поступлений;</w:t>
            </w:r>
          </w:p>
          <w:p w:rsidR="007D55BD" w:rsidRPr="007D55BD" w:rsidRDefault="007D55BD" w:rsidP="007D5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Д1ф, Д2ф</w:t>
            </w:r>
            <w:proofErr w:type="gramStart"/>
            <w:r w:rsidR="006367D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,Д</w:t>
            </w:r>
            <w:proofErr w:type="gramEnd"/>
            <w:r w:rsidR="006367D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3ф</w:t>
            </w: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- </w:t>
            </w:r>
            <w:r w:rsidR="006367D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фактическая сумма доходов за 3</w:t>
            </w: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года предшествующих текущему году;</w:t>
            </w:r>
          </w:p>
          <w:p w:rsidR="00EE4E59" w:rsidRPr="007D55BD" w:rsidRDefault="00EE4E59" w:rsidP="007D55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E59" w:rsidRPr="00B82146" w:rsidTr="003E1DA3">
        <w:tc>
          <w:tcPr>
            <w:tcW w:w="543" w:type="dxa"/>
          </w:tcPr>
          <w:p w:rsidR="00EE4E59" w:rsidRPr="009473FF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53" w:type="dxa"/>
          </w:tcPr>
          <w:p w:rsidR="00EE4E59" w:rsidRDefault="00EE4E59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EE4E59" w:rsidRDefault="00100B6A" w:rsidP="002726CC"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 w:rsidR="002726CC">
              <w:rPr>
                <w:rFonts w:ascii="Times New Roman" w:hAnsi="Times New Roman" w:cs="Times New Roman"/>
                <w:sz w:val="16"/>
                <w:szCs w:val="16"/>
              </w:rPr>
              <w:t>Придолинный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E59"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617" w:type="dxa"/>
          </w:tcPr>
          <w:p w:rsidR="00EE4E59" w:rsidRPr="00EE4E59" w:rsidRDefault="00EE4E59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10807175011000110</w:t>
            </w:r>
          </w:p>
        </w:tc>
        <w:tc>
          <w:tcPr>
            <w:tcW w:w="1560" w:type="dxa"/>
          </w:tcPr>
          <w:p w:rsidR="00EE4E59" w:rsidRPr="00EE4E59" w:rsidRDefault="00EE4E59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  <w:tc>
          <w:tcPr>
            <w:tcW w:w="1275" w:type="dxa"/>
          </w:tcPr>
          <w:p w:rsidR="00EE4E59" w:rsidRPr="007D55BD" w:rsidRDefault="007D55BD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EE4E59" w:rsidRPr="00157988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EE4E59" w:rsidRPr="00157988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E4E59" w:rsidRPr="00F1592A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653" w:type="dxa"/>
          </w:tcPr>
          <w:p w:rsidR="008D2952" w:rsidRPr="00333F4C" w:rsidRDefault="008D295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8D2952" w:rsidRPr="00EE4E59" w:rsidRDefault="008D2952" w:rsidP="002726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 w:rsidR="002726CC">
              <w:rPr>
                <w:rFonts w:ascii="Times New Roman" w:hAnsi="Times New Roman" w:cs="Times New Roman"/>
                <w:sz w:val="16"/>
                <w:szCs w:val="16"/>
              </w:rPr>
              <w:t>Придолинный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Ташлинского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11105025100000120</w:t>
            </w:r>
          </w:p>
        </w:tc>
        <w:tc>
          <w:tcPr>
            <w:tcW w:w="1560" w:type="dxa"/>
          </w:tcPr>
          <w:p w:rsidR="008D2952" w:rsidRDefault="008D2952" w:rsidP="00973616">
            <w:pPr>
              <w:pStyle w:val="a5"/>
              <w:jc w:val="left"/>
            </w:pPr>
            <w:proofErr w:type="gramStart"/>
            <w:r w:rsidRPr="00973616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t>)</w:t>
            </w:r>
            <w:proofErr w:type="gramEnd"/>
          </w:p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276A26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6A26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843" w:type="dxa"/>
          </w:tcPr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∑(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*С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)+/-F</w:t>
            </w:r>
          </w:p>
        </w:tc>
        <w:tc>
          <w:tcPr>
            <w:tcW w:w="2127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proofErr w:type="spellEnd"/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 xml:space="preserve">– прогнозируемая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за земельные участки,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площадь земельных участков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ставка арендной платы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договору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аренды;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корректирующая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поступлений, учитывающая изменение законодательства.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D2952" w:rsidRPr="00333F4C" w:rsidRDefault="008D295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8D2952" w:rsidRPr="005D4349" w:rsidRDefault="00AA2F60" w:rsidP="002726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r w:rsidR="002726CC">
              <w:rPr>
                <w:rFonts w:ascii="Times New Roman" w:hAnsi="Times New Roman" w:cs="Times New Roman"/>
                <w:sz w:val="16"/>
                <w:szCs w:val="16"/>
              </w:rPr>
              <w:t>Придолинный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Ташлинского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8D2952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11105035100000120</w:t>
            </w:r>
          </w:p>
        </w:tc>
        <w:tc>
          <w:tcPr>
            <w:tcW w:w="1560" w:type="dxa"/>
          </w:tcPr>
          <w:p w:rsidR="008D2952" w:rsidRPr="00973616" w:rsidRDefault="008D2952" w:rsidP="00973616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10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 </w:t>
            </w:r>
            <w:r w:rsidRPr="00651065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>бюджетных</w:t>
            </w:r>
            <w:r w:rsidRPr="006510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и автономных учреждений</w:t>
            </w:r>
            <w:r>
              <w:rPr>
                <w:color w:val="333333"/>
                <w:shd w:val="clear" w:color="auto" w:fill="FFFFFF"/>
              </w:rPr>
              <w:t>).</w:t>
            </w:r>
          </w:p>
        </w:tc>
        <w:tc>
          <w:tcPr>
            <w:tcW w:w="1275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76A26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843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∑(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*С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)+/-F</w:t>
            </w:r>
          </w:p>
        </w:tc>
        <w:tc>
          <w:tcPr>
            <w:tcW w:w="2127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proofErr w:type="spellEnd"/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 xml:space="preserve">– прогнозируемая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имущество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находящее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ся в оперативном управлении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площадь объекта недвижимого имущества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ставка арендной платы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договору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аренды;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корректирующая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поступлений, учитывающая изменение законодательства.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11301995100000130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2952" w:rsidRPr="00B82146" w:rsidTr="003E1DA3">
        <w:trPr>
          <w:trHeight w:val="1538"/>
        </w:trPr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11302995100000130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8D2952" w:rsidRPr="0048251E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Усредненный расчет</w:t>
            </w:r>
          </w:p>
        </w:tc>
        <w:tc>
          <w:tcPr>
            <w:tcW w:w="1843" w:type="dxa"/>
          </w:tcPr>
          <w:p w:rsidR="008D2952" w:rsidRPr="003E1DA3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Д= (</w:t>
            </w:r>
            <w:r w:rsidRPr="003E1D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proofErr w:type="gramEnd"/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)+</w:t>
            </w:r>
            <w:r w:rsidRPr="003E1D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(нас) )*Ик</w:t>
            </w:r>
          </w:p>
        </w:tc>
        <w:tc>
          <w:tcPr>
            <w:tcW w:w="2127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Расчет планируемой суммы   доходов  от возмещения расходов по оплате коммунальных услуг  в  бюджет муниципального</w:t>
            </w:r>
          </w:p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D2952" w:rsidRPr="0048251E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6367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асчет осуществляется методом усреднения годовых объемов</w:t>
            </w:r>
          </w:p>
        </w:tc>
        <w:tc>
          <w:tcPr>
            <w:tcW w:w="3260" w:type="dxa"/>
          </w:tcPr>
          <w:p w:rsidR="008D2952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)- прогнозируемый объем  поступлений доходов, поступающих в порядке возмещения расходов от юридических лиц (согласно заключенных договоров);</w:t>
            </w:r>
          </w:p>
          <w:p w:rsidR="008D2952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(нас)- прогнозируемый объем  поступления доходов  от  физических  лиц;</w:t>
            </w:r>
          </w:p>
          <w:p w:rsidR="008D2952" w:rsidRPr="0048251E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(нас)- прогнозируемый объем  поступления доходов  от  физических  лиц;</w:t>
            </w:r>
          </w:p>
          <w:p w:rsidR="008D2952" w:rsidRPr="0048251E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48251E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11402052100000410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</w:t>
            </w: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rPr>
          <w:trHeight w:val="1211"/>
        </w:trPr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11402053100000410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11402052100000440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11402053100000440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907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5100000430</w:t>
            </w:r>
          </w:p>
        </w:tc>
        <w:tc>
          <w:tcPr>
            <w:tcW w:w="1560" w:type="dxa"/>
          </w:tcPr>
          <w:p w:rsidR="008D2952" w:rsidRPr="004A52B3" w:rsidRDefault="008D2952" w:rsidP="004A52B3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A52B3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4A52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учреждений)</w:t>
            </w:r>
          </w:p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A17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2127" w:type="dxa"/>
          </w:tcPr>
          <w:p w:rsidR="008D2952" w:rsidRPr="00B82146" w:rsidRDefault="008D2952" w:rsidP="00A17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B82146" w:rsidRDefault="008D2952" w:rsidP="00A17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прогнозного объема поступлений не планируется в связи с несистематичностью и непредсказуемостью их образования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11407030100000410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11607010100000140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5E0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116020200020000140</w:t>
            </w:r>
          </w:p>
        </w:tc>
        <w:tc>
          <w:tcPr>
            <w:tcW w:w="1560" w:type="dxa"/>
          </w:tcPr>
          <w:p w:rsidR="008D2952" w:rsidRPr="00E47243" w:rsidRDefault="008D2952" w:rsidP="00E47243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7243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8D2952" w:rsidRPr="00EE4E59" w:rsidRDefault="008D2952" w:rsidP="005E0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E16254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hAnsi="Times New Roman" w:cs="Times New Roman"/>
                <w:sz w:val="16"/>
                <w:szCs w:val="16"/>
              </w:rPr>
              <w:t>усреднение</w:t>
            </w:r>
          </w:p>
        </w:tc>
        <w:tc>
          <w:tcPr>
            <w:tcW w:w="1843" w:type="dxa"/>
          </w:tcPr>
          <w:p w:rsidR="008D2952" w:rsidRPr="00E16254" w:rsidRDefault="008D2952" w:rsidP="00E162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ОпДВ</w:t>
            </w:r>
            <w:proofErr w:type="spell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= Ф</w:t>
            </w:r>
            <w:proofErr w:type="gramStart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proofErr w:type="gram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+Ф2</w:t>
            </w:r>
          </w:p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E16254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hAnsi="Times New Roman" w:cs="Times New Roman"/>
                <w:sz w:val="16"/>
                <w:szCs w:val="16"/>
              </w:rPr>
              <w:t>планируются исходя из фактических поступлений за 8 месяцев текущего года и 4 месяца отчетного года, на плановый период – на уровне очередной финансовый года, а также по данным администраторов доходов.</w:t>
            </w:r>
          </w:p>
        </w:tc>
        <w:tc>
          <w:tcPr>
            <w:tcW w:w="3260" w:type="dxa"/>
          </w:tcPr>
          <w:p w:rsidR="008D2952" w:rsidRDefault="008D2952" w:rsidP="00E162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ОпД</w:t>
            </w:r>
            <w:proofErr w:type="gram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proofErr w:type="spell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gram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ожидаемых поступлений за текущий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D2952" w:rsidRPr="00E16254" w:rsidRDefault="008D2952" w:rsidP="00E1625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</w:t>
            </w:r>
            <w:proofErr w:type="gram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proofErr w:type="gramEnd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фактическое поступление за 8 полугодие текущего года,</w:t>
            </w:r>
          </w:p>
          <w:p w:rsidR="008D2952" w:rsidRPr="00E16254" w:rsidRDefault="008D2952" w:rsidP="00E1625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</w:t>
            </w:r>
            <w:proofErr w:type="gram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proofErr w:type="gramEnd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- фактическое поступление за 4 полугодие отчетного года.</w:t>
            </w:r>
          </w:p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11610123010000140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11701050100000180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Невыясненные поступления, зачисляемые в бюджеты сельских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724D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11705050100000180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C96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0301 0000150</w:t>
            </w:r>
          </w:p>
        </w:tc>
        <w:tc>
          <w:tcPr>
            <w:tcW w:w="1560" w:type="dxa"/>
          </w:tcPr>
          <w:p w:rsidR="008D2952" w:rsidRPr="00C9601F" w:rsidRDefault="008D2952" w:rsidP="00C9601F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9601F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C3491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 бюджетов поселений</w:t>
            </w: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202150011 0000150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8E7E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тАШЛИНСКОГО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20 15002100000150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8E7E1A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Оренбургской области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20219999100000150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8E7E1A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</w:t>
            </w:r>
            <w:bookmarkStart w:id="0" w:name="_GoBack"/>
            <w:bookmarkEnd w:id="0"/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Оренбургской области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20220216100000150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многоквартирных домов населенных пунктов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20229999100000150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2023511810 0000150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20230024100000150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20 39999100000150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202451601 0000150 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20240014100000150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20249999100000150 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20405099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20705020100000150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20705030100000150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21805010100000150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Доходы бюджетов сельских поселений от возврата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бюджетными учреждениями остатков субсидий прошлых лет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21805020100000150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21805030100000150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21960010100000150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</w:tbl>
    <w:p w:rsidR="00B4557C" w:rsidRPr="009F1F1D" w:rsidRDefault="00B4557C" w:rsidP="00724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7"/>
      <w:bookmarkEnd w:id="1"/>
    </w:p>
    <w:sectPr w:rsidR="00B4557C" w:rsidRPr="009F1F1D" w:rsidSect="001B7B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298"/>
    <w:rsid w:val="00013F5A"/>
    <w:rsid w:val="0002794D"/>
    <w:rsid w:val="000339B1"/>
    <w:rsid w:val="00093F89"/>
    <w:rsid w:val="000D1308"/>
    <w:rsid w:val="00100B6A"/>
    <w:rsid w:val="00137870"/>
    <w:rsid w:val="00157988"/>
    <w:rsid w:val="00167AE9"/>
    <w:rsid w:val="00177DAA"/>
    <w:rsid w:val="001A1240"/>
    <w:rsid w:val="001B5751"/>
    <w:rsid w:val="001B7B2E"/>
    <w:rsid w:val="00204C7D"/>
    <w:rsid w:val="00214039"/>
    <w:rsid w:val="00267240"/>
    <w:rsid w:val="002726CC"/>
    <w:rsid w:val="002A1B1F"/>
    <w:rsid w:val="002C1182"/>
    <w:rsid w:val="002C5971"/>
    <w:rsid w:val="002D4478"/>
    <w:rsid w:val="003043E6"/>
    <w:rsid w:val="0031629C"/>
    <w:rsid w:val="0034387E"/>
    <w:rsid w:val="0035438D"/>
    <w:rsid w:val="00363D2F"/>
    <w:rsid w:val="003B3521"/>
    <w:rsid w:val="003C791B"/>
    <w:rsid w:val="003E1DA3"/>
    <w:rsid w:val="003F0C4B"/>
    <w:rsid w:val="00436E30"/>
    <w:rsid w:val="00437202"/>
    <w:rsid w:val="00440EDF"/>
    <w:rsid w:val="00465ACC"/>
    <w:rsid w:val="0048251E"/>
    <w:rsid w:val="004936E5"/>
    <w:rsid w:val="004A52B3"/>
    <w:rsid w:val="004D07D0"/>
    <w:rsid w:val="00521E8F"/>
    <w:rsid w:val="00540A0A"/>
    <w:rsid w:val="00576C4B"/>
    <w:rsid w:val="00592DE8"/>
    <w:rsid w:val="00595AE0"/>
    <w:rsid w:val="005A504D"/>
    <w:rsid w:val="005A6297"/>
    <w:rsid w:val="005E0B92"/>
    <w:rsid w:val="00611328"/>
    <w:rsid w:val="00620933"/>
    <w:rsid w:val="00635AC8"/>
    <w:rsid w:val="006367D1"/>
    <w:rsid w:val="006465D6"/>
    <w:rsid w:val="00651065"/>
    <w:rsid w:val="0065605E"/>
    <w:rsid w:val="00681D28"/>
    <w:rsid w:val="00690906"/>
    <w:rsid w:val="00690CA4"/>
    <w:rsid w:val="00694287"/>
    <w:rsid w:val="006B7C2D"/>
    <w:rsid w:val="006C3491"/>
    <w:rsid w:val="006D1A9B"/>
    <w:rsid w:val="006F0BB2"/>
    <w:rsid w:val="00705925"/>
    <w:rsid w:val="0071672A"/>
    <w:rsid w:val="00721298"/>
    <w:rsid w:val="00724176"/>
    <w:rsid w:val="00724DF7"/>
    <w:rsid w:val="007325D9"/>
    <w:rsid w:val="007655AF"/>
    <w:rsid w:val="00793D8F"/>
    <w:rsid w:val="007947DC"/>
    <w:rsid w:val="007A7BA6"/>
    <w:rsid w:val="007B2BCB"/>
    <w:rsid w:val="007D55BD"/>
    <w:rsid w:val="007E54C1"/>
    <w:rsid w:val="00812BBB"/>
    <w:rsid w:val="00814D85"/>
    <w:rsid w:val="00870F9E"/>
    <w:rsid w:val="008A5D74"/>
    <w:rsid w:val="008D09CC"/>
    <w:rsid w:val="008D2952"/>
    <w:rsid w:val="008D5D8A"/>
    <w:rsid w:val="008E7E1A"/>
    <w:rsid w:val="00907337"/>
    <w:rsid w:val="009473FF"/>
    <w:rsid w:val="0095042B"/>
    <w:rsid w:val="00973616"/>
    <w:rsid w:val="009A6E01"/>
    <w:rsid w:val="009B228B"/>
    <w:rsid w:val="009C10CA"/>
    <w:rsid w:val="009E338E"/>
    <w:rsid w:val="009F1F1D"/>
    <w:rsid w:val="00A23157"/>
    <w:rsid w:val="00AA2F60"/>
    <w:rsid w:val="00AA39FE"/>
    <w:rsid w:val="00AD0D1D"/>
    <w:rsid w:val="00AE6481"/>
    <w:rsid w:val="00B0623A"/>
    <w:rsid w:val="00B44695"/>
    <w:rsid w:val="00B4557C"/>
    <w:rsid w:val="00B82146"/>
    <w:rsid w:val="00BE2415"/>
    <w:rsid w:val="00BF6F88"/>
    <w:rsid w:val="00C40540"/>
    <w:rsid w:val="00C40E01"/>
    <w:rsid w:val="00C610C0"/>
    <w:rsid w:val="00C81F93"/>
    <w:rsid w:val="00C860C7"/>
    <w:rsid w:val="00C929FD"/>
    <w:rsid w:val="00C9601F"/>
    <w:rsid w:val="00CD0A93"/>
    <w:rsid w:val="00CD7C5A"/>
    <w:rsid w:val="00D01440"/>
    <w:rsid w:val="00D25A11"/>
    <w:rsid w:val="00D95493"/>
    <w:rsid w:val="00E160B1"/>
    <w:rsid w:val="00E16254"/>
    <w:rsid w:val="00E47243"/>
    <w:rsid w:val="00EC55F4"/>
    <w:rsid w:val="00ED73F7"/>
    <w:rsid w:val="00EE4E59"/>
    <w:rsid w:val="00F02ACB"/>
    <w:rsid w:val="00F11978"/>
    <w:rsid w:val="00F1592A"/>
    <w:rsid w:val="00F33946"/>
    <w:rsid w:val="00F33A3D"/>
    <w:rsid w:val="00F536E8"/>
    <w:rsid w:val="00FA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</w:style>
  <w:style w:type="paragraph" w:styleId="3">
    <w:name w:val="heading 3"/>
    <w:basedOn w:val="a"/>
    <w:next w:val="a"/>
    <w:link w:val="30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60C7"/>
  </w:style>
  <w:style w:type="paragraph" w:customStyle="1" w:styleId="a5">
    <w:name w:val="Нормальный (таблица)"/>
    <w:basedOn w:val="a"/>
    <w:next w:val="a"/>
    <w:uiPriority w:val="99"/>
    <w:rsid w:val="004A52B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buh</cp:lastModifiedBy>
  <cp:revision>28</cp:revision>
  <cp:lastPrinted>2021-12-01T04:15:00Z</cp:lastPrinted>
  <dcterms:created xsi:type="dcterms:W3CDTF">2022-02-01T11:03:00Z</dcterms:created>
  <dcterms:modified xsi:type="dcterms:W3CDTF">2022-03-16T06:53:00Z</dcterms:modified>
</cp:coreProperties>
</file>